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2DA82C5C">
      <w:pPr>
        <w:spacing w:line="240" w:lineRule="auto"/>
        <w:ind w:firstLine="540"/>
        <w:rPr>
          <w:rFonts w:hint="eastAsia" w:eastAsia="宋体"/>
          <w:lang w:eastAsia="zh-CN"/>
        </w:rPr>
      </w:pPr>
      <w:r>
        <w:rPr>
          <w:rFonts w:hint="eastAsia" w:eastAsia="宋体"/>
          <w:lang w:eastAsia="zh-CN"/>
        </w:rPr>
        <w:drawing>
          <wp:inline distT="0" distB="0" distL="114300" distR="114300">
            <wp:extent cx="742950" cy="691515"/>
            <wp:effectExtent l="0" t="0" r="0" b="13335"/>
            <wp:docPr id="1" name="图片 1" descr="99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999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42950" cy="691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3BC20C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4" name="IM 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IM 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25E15CE">
      <w:pPr>
        <w:pStyle w:val="2"/>
        <w:spacing w:before="280" w:line="189" w:lineRule="auto"/>
        <w:ind w:left="545"/>
        <w:outlineLvl w:val="0"/>
        <w:rPr>
          <w:sz w:val="28"/>
          <w:szCs w:val="28"/>
        </w:rPr>
      </w:pPr>
      <w:r>
        <w:rPr>
          <w:b/>
          <w:bCs/>
          <w:spacing w:val="-1"/>
          <w:sz w:val="28"/>
          <w:szCs w:val="28"/>
        </w:rPr>
        <w:t>EGFR (T854A)</w:t>
      </w:r>
    </w:p>
    <w:p w14:paraId="7FD30538">
      <w:pPr>
        <w:pStyle w:val="2"/>
        <w:spacing w:before="237" w:line="197" w:lineRule="auto"/>
        <w:ind w:left="548"/>
      </w:pPr>
      <w:r>
        <w:rPr>
          <w:b/>
          <w:bCs/>
        </w:rPr>
        <w:t>Catalog</w:t>
      </w:r>
      <w:r>
        <w:rPr>
          <w:b/>
          <w:bCs/>
          <w:spacing w:val="11"/>
        </w:rPr>
        <w:t xml:space="preserve"> </w:t>
      </w:r>
      <w:r>
        <w:rPr>
          <w:b/>
          <w:bCs/>
        </w:rPr>
        <w:t>Number</w:t>
      </w:r>
      <w:r>
        <w:rPr>
          <w:b/>
          <w:bCs/>
          <w:spacing w:val="11"/>
        </w:rPr>
        <w:t xml:space="preserve">: </w:t>
      </w:r>
      <w:r>
        <w:rPr>
          <w:rFonts w:hint="eastAsia" w:eastAsia="宋体"/>
          <w:b/>
          <w:bCs/>
          <w:spacing w:val="11"/>
          <w:lang w:val="en-US" w:eastAsia="zh-CN"/>
        </w:rPr>
        <w:t>CR-M</w:t>
      </w:r>
      <w:r>
        <w:rPr>
          <w:spacing w:val="11"/>
        </w:rPr>
        <w:t>26481</w:t>
      </w:r>
    </w:p>
    <w:p w14:paraId="219D8A0B">
      <w:pPr>
        <w:pStyle w:val="2"/>
        <w:spacing w:before="119" w:line="201" w:lineRule="auto"/>
        <w:ind w:left="548"/>
      </w:pPr>
      <w:r>
        <w:rPr>
          <w:b/>
          <w:bCs/>
        </w:rPr>
        <w:t>Gene</w:t>
      </w:r>
      <w:r>
        <w:rPr>
          <w:b/>
          <w:bCs/>
          <w:spacing w:val="19"/>
        </w:rPr>
        <w:t xml:space="preserve"> </w:t>
      </w:r>
      <w:r>
        <w:rPr>
          <w:b/>
          <w:bCs/>
        </w:rPr>
        <w:t>Symbol</w:t>
      </w:r>
      <w:r>
        <w:rPr>
          <w:b/>
          <w:bCs/>
          <w:spacing w:val="19"/>
        </w:rPr>
        <w:t xml:space="preserve">: </w:t>
      </w:r>
      <w:r>
        <w:t>EGFR</w:t>
      </w:r>
      <w:r>
        <w:rPr>
          <w:spacing w:val="19"/>
        </w:rPr>
        <w:t>/</w:t>
      </w:r>
      <w:r>
        <w:t>HER</w:t>
      </w:r>
      <w:r>
        <w:rPr>
          <w:spacing w:val="19"/>
        </w:rPr>
        <w:t>1/</w:t>
      </w:r>
      <w:r>
        <w:t>ERBB</w:t>
      </w:r>
      <w:r>
        <w:rPr>
          <w:spacing w:val="19"/>
        </w:rPr>
        <w:t>1</w:t>
      </w:r>
    </w:p>
    <w:p w14:paraId="35098C7F">
      <w:pPr>
        <w:pStyle w:val="2"/>
        <w:spacing w:before="120" w:line="201" w:lineRule="auto"/>
        <w:ind w:left="542"/>
      </w:pPr>
      <w:r>
        <w:drawing>
          <wp:anchor distT="0" distB="0" distL="0" distR="0" simplePos="0" relativeHeight="251659264" behindDoc="0" locked="0" layoutInCell="1" allowOverlap="1">
            <wp:simplePos x="0" y="0"/>
            <wp:positionH relativeFrom="column">
              <wp:posOffset>0</wp:posOffset>
            </wp:positionH>
            <wp:positionV relativeFrom="paragraph">
              <wp:posOffset>313690</wp:posOffset>
            </wp:positionV>
            <wp:extent cx="6057900" cy="10160"/>
            <wp:effectExtent l="0" t="0" r="0" b="0"/>
            <wp:wrapNone/>
            <wp:docPr id="6" name="IM 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IM 6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6057900" cy="1015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b/>
          <w:bCs/>
        </w:rPr>
        <w:t>Description</w:t>
      </w:r>
      <w:r>
        <w:rPr>
          <w:b/>
          <w:bCs/>
          <w:spacing w:val="19"/>
        </w:rPr>
        <w:t xml:space="preserve">: </w:t>
      </w:r>
      <w:r>
        <w:t>Anti</w:t>
      </w:r>
      <w:r>
        <w:rPr>
          <w:spacing w:val="19"/>
        </w:rPr>
        <w:t>-</w:t>
      </w:r>
      <w:r>
        <w:t>EGFR</w:t>
      </w:r>
      <w:r>
        <w:rPr>
          <w:spacing w:val="19"/>
        </w:rPr>
        <w:t xml:space="preserve"> (T854A) </w:t>
      </w:r>
      <w:r>
        <w:t>Mouse</w:t>
      </w:r>
      <w:r>
        <w:rPr>
          <w:spacing w:val="19"/>
        </w:rPr>
        <w:t xml:space="preserve"> </w:t>
      </w:r>
      <w:r>
        <w:t>Monoclonal</w:t>
      </w:r>
      <w:r>
        <w:rPr>
          <w:spacing w:val="-2"/>
        </w:rPr>
        <w:t xml:space="preserve"> </w:t>
      </w:r>
      <w:r>
        <w:t>Antibody</w:t>
      </w:r>
    </w:p>
    <w:p w14:paraId="3C951BDF">
      <w:pPr>
        <w:spacing w:before="128"/>
      </w:pPr>
    </w:p>
    <w:p w14:paraId="498563B8">
      <w:pPr>
        <w:sectPr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64477887">
      <w:pPr>
        <w:pStyle w:val="2"/>
        <w:spacing w:before="37" w:line="201" w:lineRule="auto"/>
        <w:ind w:left="544"/>
      </w:pPr>
      <w:r>
        <w:rPr>
          <w:b/>
          <w:bCs/>
          <w:spacing w:val="4"/>
        </w:rPr>
        <w:t xml:space="preserve">Background: </w:t>
      </w:r>
      <w:r>
        <w:rPr>
          <w:spacing w:val="4"/>
        </w:rPr>
        <w:t>EGFR is a receptor tyrosine</w:t>
      </w:r>
    </w:p>
    <w:p w14:paraId="2B595112">
      <w:pPr>
        <w:pStyle w:val="2"/>
        <w:spacing w:before="122" w:line="314" w:lineRule="auto"/>
        <w:ind w:left="546" w:right="542" w:hanging="5"/>
      </w:pPr>
      <w:r>
        <w:rPr>
          <w:spacing w:val="5"/>
        </w:rPr>
        <w:t>kinase binding ligands ofthe EGF family</w:t>
      </w:r>
      <w:r>
        <w:rPr>
          <w:spacing w:val="20"/>
        </w:rPr>
        <w:t xml:space="preserve"> </w:t>
      </w:r>
      <w:r>
        <w:rPr>
          <w:spacing w:val="5"/>
        </w:rPr>
        <w:t>and</w:t>
      </w:r>
      <w:r>
        <w:t xml:space="preserve">    </w:t>
      </w:r>
      <w:r>
        <w:rPr>
          <w:spacing w:val="4"/>
        </w:rPr>
        <w:t>activating several signali</w:t>
      </w:r>
      <w:r>
        <w:rPr>
          <w:spacing w:val="3"/>
        </w:rPr>
        <w:t>ng cascades</w:t>
      </w:r>
      <w:r>
        <w:rPr>
          <w:spacing w:val="5"/>
        </w:rPr>
        <w:t xml:space="preserve"> </w:t>
      </w:r>
      <w:r>
        <w:rPr>
          <w:spacing w:val="3"/>
        </w:rPr>
        <w:t>to</w:t>
      </w:r>
      <w:r>
        <w:rPr>
          <w:spacing w:val="11"/>
        </w:rPr>
        <w:t xml:space="preserve"> </w:t>
      </w:r>
      <w:r>
        <w:rPr>
          <w:spacing w:val="3"/>
        </w:rPr>
        <w:t>convert</w:t>
      </w:r>
      <w:r>
        <w:t xml:space="preserve"> </w:t>
      </w:r>
      <w:r>
        <w:rPr>
          <w:spacing w:val="4"/>
        </w:rPr>
        <w:t xml:space="preserve">extracellular cues </w:t>
      </w:r>
      <w:r>
        <w:rPr>
          <w:spacing w:val="3"/>
        </w:rPr>
        <w:t>into appropriate</w:t>
      </w:r>
      <w:r>
        <w:rPr>
          <w:spacing w:val="13"/>
        </w:rPr>
        <w:t xml:space="preserve"> </w:t>
      </w:r>
      <w:r>
        <w:rPr>
          <w:spacing w:val="3"/>
        </w:rPr>
        <w:t>cellular</w:t>
      </w:r>
    </w:p>
    <w:p w14:paraId="024EF224">
      <w:pPr>
        <w:pStyle w:val="2"/>
        <w:spacing w:before="31" w:line="201" w:lineRule="auto"/>
        <w:ind w:left="541"/>
      </w:pPr>
      <w:r>
        <w:rPr>
          <w:spacing w:val="4"/>
        </w:rPr>
        <w:t>responses. It activ</w:t>
      </w:r>
      <w:r>
        <w:rPr>
          <w:spacing w:val="3"/>
        </w:rPr>
        <w:t>ates at</w:t>
      </w:r>
      <w:r>
        <w:rPr>
          <w:spacing w:val="8"/>
        </w:rPr>
        <w:t xml:space="preserve"> </w:t>
      </w:r>
      <w:r>
        <w:rPr>
          <w:spacing w:val="3"/>
        </w:rPr>
        <w:t>least</w:t>
      </w:r>
      <w:r>
        <w:rPr>
          <w:spacing w:val="6"/>
        </w:rPr>
        <w:t xml:space="preserve"> </w:t>
      </w:r>
      <w:r>
        <w:rPr>
          <w:spacing w:val="3"/>
        </w:rPr>
        <w:t>4</w:t>
      </w:r>
      <w:r>
        <w:rPr>
          <w:spacing w:val="5"/>
        </w:rPr>
        <w:t xml:space="preserve"> </w:t>
      </w:r>
      <w:r>
        <w:rPr>
          <w:spacing w:val="3"/>
        </w:rPr>
        <w:t>major</w:t>
      </w:r>
    </w:p>
    <w:p w14:paraId="386CD9E6">
      <w:pPr>
        <w:pStyle w:val="2"/>
        <w:spacing w:before="120" w:line="308" w:lineRule="auto"/>
        <w:ind w:left="543" w:right="735" w:firstLine="3"/>
      </w:pPr>
      <w:r>
        <w:rPr>
          <w:spacing w:val="4"/>
        </w:rPr>
        <w:t>downstream signaling cascades including t</w:t>
      </w:r>
      <w:r>
        <w:rPr>
          <w:spacing w:val="3"/>
        </w:rPr>
        <w:t>he</w:t>
      </w:r>
      <w:r>
        <w:t xml:space="preserve"> RAS</w:t>
      </w:r>
      <w:r>
        <w:rPr>
          <w:spacing w:val="17"/>
        </w:rPr>
        <w:t>-</w:t>
      </w:r>
      <w:r>
        <w:t>RAF</w:t>
      </w:r>
      <w:r>
        <w:rPr>
          <w:spacing w:val="17"/>
        </w:rPr>
        <w:t>-</w:t>
      </w:r>
      <w:r>
        <w:t>MEK</w:t>
      </w:r>
      <w:r>
        <w:rPr>
          <w:spacing w:val="17"/>
        </w:rPr>
        <w:t>-</w:t>
      </w:r>
      <w:r>
        <w:t>ERK</w:t>
      </w:r>
      <w:r>
        <w:rPr>
          <w:spacing w:val="17"/>
        </w:rPr>
        <w:t xml:space="preserve">, </w:t>
      </w:r>
      <w:r>
        <w:t>PI</w:t>
      </w:r>
      <w:r>
        <w:rPr>
          <w:spacing w:val="17"/>
        </w:rPr>
        <w:t xml:space="preserve">3 </w:t>
      </w:r>
      <w:r>
        <w:t>kinase</w:t>
      </w:r>
      <w:r>
        <w:rPr>
          <w:spacing w:val="17"/>
        </w:rPr>
        <w:t>-</w:t>
      </w:r>
      <w:r>
        <w:t>AKT</w:t>
      </w:r>
      <w:r>
        <w:rPr>
          <w:spacing w:val="17"/>
        </w:rPr>
        <w:t>,</w:t>
      </w:r>
    </w:p>
    <w:p w14:paraId="205C0E25">
      <w:pPr>
        <w:pStyle w:val="2"/>
        <w:spacing w:before="34" w:line="309" w:lineRule="auto"/>
        <w:ind w:left="545" w:right="574" w:hanging="2"/>
      </w:pPr>
      <w:r>
        <w:rPr>
          <w:spacing w:val="3"/>
        </w:rPr>
        <w:t>PLCgamma-PKC and STATs modules. Defects</w:t>
      </w:r>
      <w:r>
        <w:rPr>
          <w:spacing w:val="12"/>
        </w:rPr>
        <w:t xml:space="preserve"> </w:t>
      </w:r>
      <w:r>
        <w:rPr>
          <w:spacing w:val="4"/>
        </w:rPr>
        <w:t>in EGFR are associated wi</w:t>
      </w:r>
      <w:r>
        <w:rPr>
          <w:spacing w:val="3"/>
        </w:rPr>
        <w:t>th</w:t>
      </w:r>
      <w:r>
        <w:rPr>
          <w:spacing w:val="13"/>
        </w:rPr>
        <w:t xml:space="preserve"> </w:t>
      </w:r>
      <w:r>
        <w:rPr>
          <w:spacing w:val="3"/>
        </w:rPr>
        <w:t>lung</w:t>
      </w:r>
      <w:r>
        <w:rPr>
          <w:spacing w:val="9"/>
        </w:rPr>
        <w:t xml:space="preserve"> </w:t>
      </w:r>
      <w:r>
        <w:rPr>
          <w:spacing w:val="3"/>
        </w:rPr>
        <w:t>cancer</w:t>
      </w:r>
    </w:p>
    <w:p w14:paraId="02E37248">
      <w:pPr>
        <w:pStyle w:val="2"/>
        <w:spacing w:before="31" w:line="201" w:lineRule="auto"/>
        <w:ind w:left="548"/>
      </w:pPr>
      <w:r>
        <w:rPr>
          <w:spacing w:val="12"/>
        </w:rPr>
        <w:t>(</w:t>
      </w:r>
      <w:r>
        <w:t>LNCR</w:t>
      </w:r>
      <w:r>
        <w:rPr>
          <w:spacing w:val="12"/>
        </w:rPr>
        <w:t>).</w:t>
      </w:r>
    </w:p>
    <w:p w14:paraId="3643B488">
      <w:pPr>
        <w:pStyle w:val="2"/>
        <w:spacing w:before="121" w:line="314" w:lineRule="auto"/>
        <w:ind w:left="541" w:right="850" w:firstLine="2"/>
      </w:pPr>
      <w:r>
        <w:rPr>
          <w:b/>
          <w:bCs/>
          <w:spacing w:val="4"/>
        </w:rPr>
        <w:t xml:space="preserve">Immunogen: </w:t>
      </w:r>
      <w:r>
        <w:rPr>
          <w:spacing w:val="4"/>
        </w:rPr>
        <w:t>A synthetic p</w:t>
      </w:r>
      <w:r>
        <w:rPr>
          <w:spacing w:val="3"/>
        </w:rPr>
        <w:t>eptide from the</w:t>
      </w:r>
      <w:r>
        <w:t xml:space="preserve">   </w:t>
      </w:r>
      <w:r>
        <w:rPr>
          <w:spacing w:val="5"/>
        </w:rPr>
        <w:t>internal region of</w:t>
      </w:r>
      <w:r>
        <w:rPr>
          <w:spacing w:val="-14"/>
        </w:rPr>
        <w:t xml:space="preserve"> </w:t>
      </w:r>
      <w:r>
        <w:rPr>
          <w:spacing w:val="5"/>
        </w:rPr>
        <w:t>EGF</w:t>
      </w:r>
      <w:r>
        <w:rPr>
          <w:spacing w:val="4"/>
        </w:rPr>
        <w:t>R which includes the</w:t>
      </w:r>
      <w:r>
        <w:t xml:space="preserve"> mutation</w:t>
      </w:r>
      <w:r>
        <w:rPr>
          <w:spacing w:val="20"/>
        </w:rPr>
        <w:t xml:space="preserve"> </w:t>
      </w:r>
      <w:r>
        <w:t>ofT</w:t>
      </w:r>
      <w:r>
        <w:rPr>
          <w:spacing w:val="20"/>
        </w:rPr>
        <w:t xml:space="preserve">854A, </w:t>
      </w:r>
      <w:r>
        <w:t>human</w:t>
      </w:r>
      <w:r>
        <w:rPr>
          <w:spacing w:val="20"/>
        </w:rPr>
        <w:t xml:space="preserve"> </w:t>
      </w:r>
      <w:r>
        <w:t>origin</w:t>
      </w:r>
      <w:r>
        <w:rPr>
          <w:spacing w:val="20"/>
        </w:rPr>
        <w:t>.</w:t>
      </w:r>
    </w:p>
    <w:p w14:paraId="3A1792BE">
      <w:pPr>
        <w:pStyle w:val="2"/>
        <w:spacing w:before="36" w:line="304" w:lineRule="auto"/>
        <w:ind w:left="543" w:right="914" w:firstLine="3"/>
      </w:pPr>
      <w:r>
        <w:rPr>
          <w:b/>
          <w:bCs/>
        </w:rPr>
        <w:t>Tested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applications</w:t>
      </w:r>
      <w:r>
        <w:rPr>
          <w:b/>
          <w:bCs/>
          <w:spacing w:val="13"/>
        </w:rPr>
        <w:t xml:space="preserve">: </w:t>
      </w:r>
      <w:r>
        <w:t>ELISA</w:t>
      </w:r>
      <w:r>
        <w:rPr>
          <w:spacing w:val="13"/>
        </w:rPr>
        <w:t xml:space="preserve">, </w:t>
      </w:r>
      <w:r>
        <w:t>WB</w:t>
      </w:r>
      <w:r>
        <w:rPr>
          <w:spacing w:val="13"/>
        </w:rPr>
        <w:t xml:space="preserve">, </w:t>
      </w:r>
      <w:r>
        <w:t>IF</w:t>
      </w:r>
      <w:r>
        <w:rPr>
          <w:spacing w:val="13"/>
        </w:rPr>
        <w:t xml:space="preserve">, </w:t>
      </w:r>
      <w:r>
        <w:t>IHC</w:t>
      </w:r>
      <w:r>
        <w:rPr>
          <w:spacing w:val="6"/>
        </w:rPr>
        <w:t xml:space="preserve"> </w:t>
      </w:r>
      <w:r>
        <w:rPr>
          <w:b/>
          <w:bCs/>
          <w:spacing w:val="4"/>
        </w:rPr>
        <w:t>Recommended dilutions:</w:t>
      </w:r>
    </w:p>
    <w:p w14:paraId="6C498915">
      <w:pPr>
        <w:pStyle w:val="2"/>
        <w:spacing w:before="41" w:line="195" w:lineRule="auto"/>
        <w:ind w:left="544"/>
      </w:pPr>
      <w:r>
        <w:t>ELISA</w:t>
      </w:r>
      <w:r>
        <w:rPr>
          <w:spacing w:val="4"/>
        </w:rPr>
        <w:t>:</w:t>
      </w:r>
      <w:r>
        <w:rPr>
          <w:spacing w:val="9"/>
        </w:rPr>
        <w:t xml:space="preserve">    </w:t>
      </w:r>
      <w:r>
        <w:rPr>
          <w:spacing w:val="4"/>
        </w:rPr>
        <w:t>1:1000-1:5000</w:t>
      </w:r>
    </w:p>
    <w:p w14:paraId="43A03031">
      <w:pPr>
        <w:pStyle w:val="2"/>
        <w:spacing w:before="125" w:line="195" w:lineRule="auto"/>
        <w:ind w:left="542"/>
      </w:pPr>
      <w:r>
        <w:t>WB</w:t>
      </w:r>
      <w:r>
        <w:rPr>
          <w:spacing w:val="3"/>
        </w:rPr>
        <w:t>:</w:t>
      </w:r>
      <w:r>
        <w:t xml:space="preserve">           </w:t>
      </w:r>
      <w:r>
        <w:rPr>
          <w:spacing w:val="3"/>
        </w:rPr>
        <w:t>1:1000-1:5000</w:t>
      </w:r>
    </w:p>
    <w:p w14:paraId="213AD7EC">
      <w:pPr>
        <w:pStyle w:val="2"/>
        <w:spacing w:before="125" w:line="195" w:lineRule="auto"/>
        <w:ind w:left="545"/>
      </w:pPr>
      <w:r>
        <w:t>IHC</w:t>
      </w:r>
      <w:r>
        <w:rPr>
          <w:spacing w:val="2"/>
        </w:rPr>
        <w:t>:</w:t>
      </w:r>
      <w:r>
        <w:t xml:space="preserve">           </w:t>
      </w:r>
      <w:r>
        <w:rPr>
          <w:spacing w:val="2"/>
        </w:rPr>
        <w:t>1:50-1:200</w:t>
      </w:r>
    </w:p>
    <w:p w14:paraId="22481C95">
      <w:pPr>
        <w:pStyle w:val="2"/>
        <w:spacing w:before="122" w:line="201" w:lineRule="auto"/>
        <w:ind w:left="548"/>
      </w:pPr>
      <w:r>
        <w:rPr>
          <w:b/>
          <w:bCs/>
        </w:rPr>
        <w:t>Concentration</w:t>
      </w:r>
      <w:r>
        <w:rPr>
          <w:b/>
          <w:bCs/>
          <w:spacing w:val="15"/>
        </w:rPr>
        <w:t>:</w:t>
      </w:r>
      <w:r>
        <w:rPr>
          <w:b/>
          <w:bCs/>
          <w:spacing w:val="28"/>
        </w:rPr>
        <w:t xml:space="preserve"> </w:t>
      </w:r>
      <w:r>
        <w:rPr>
          <w:spacing w:val="15"/>
        </w:rPr>
        <w:t xml:space="preserve">1 </w:t>
      </w:r>
      <w:r>
        <w:t>mg</w:t>
      </w:r>
      <w:r>
        <w:rPr>
          <w:spacing w:val="15"/>
        </w:rPr>
        <w:t>/</w:t>
      </w:r>
      <w:r>
        <w:t>ml</w:t>
      </w:r>
    </w:p>
    <w:p w14:paraId="5BCF2FF6">
      <w:pPr>
        <w:pStyle w:val="2"/>
        <w:spacing w:before="126" w:line="192" w:lineRule="auto"/>
        <w:ind w:left="544"/>
      </w:pPr>
      <w:r>
        <w:rPr>
          <w:b/>
          <w:bCs/>
          <w:spacing w:val="4"/>
        </w:rPr>
        <w:t xml:space="preserve">Host: </w:t>
      </w:r>
      <w:r>
        <w:rPr>
          <w:spacing w:val="4"/>
        </w:rPr>
        <w:t>Mouse</w:t>
      </w:r>
    </w:p>
    <w:p w14:paraId="25A5CB93">
      <w:pPr>
        <w:pStyle w:val="2"/>
        <w:spacing w:before="121" w:line="201" w:lineRule="auto"/>
        <w:ind w:left="548"/>
      </w:pPr>
      <w:r>
        <w:rPr>
          <w:b/>
          <w:bCs/>
          <w:spacing w:val="4"/>
        </w:rPr>
        <w:t xml:space="preserve">Clonality: </w:t>
      </w:r>
      <w:r>
        <w:rPr>
          <w:spacing w:val="4"/>
        </w:rPr>
        <w:t>Monoclonal</w:t>
      </w:r>
    </w:p>
    <w:p w14:paraId="2290C9FC">
      <w:pPr>
        <w:pStyle w:val="2"/>
        <w:spacing w:before="119" w:line="201" w:lineRule="auto"/>
        <w:ind w:left="545"/>
      </w:pPr>
      <w:r>
        <w:rPr>
          <w:b/>
          <w:bCs/>
          <w:spacing w:val="3"/>
        </w:rPr>
        <w:t xml:space="preserve">Purity: </w:t>
      </w:r>
      <w:r>
        <w:rPr>
          <w:spacing w:val="3"/>
        </w:rPr>
        <w:t>Purified from</w:t>
      </w:r>
      <w:r>
        <w:rPr>
          <w:spacing w:val="25"/>
        </w:rPr>
        <w:t xml:space="preserve"> </w:t>
      </w:r>
      <w:r>
        <w:rPr>
          <w:spacing w:val="3"/>
        </w:rPr>
        <w:t>ascites</w:t>
      </w:r>
    </w:p>
    <w:p w14:paraId="2DB05D07">
      <w:pPr>
        <w:pStyle w:val="2"/>
        <w:spacing w:before="120" w:line="311" w:lineRule="auto"/>
        <w:ind w:left="550" w:right="3153" w:hanging="6"/>
      </w:pPr>
      <w:r>
        <w:rPr>
          <w:b/>
          <w:bCs/>
          <w:spacing w:val="4"/>
        </w:rPr>
        <w:t xml:space="preserve">Format: </w:t>
      </w:r>
      <w:r>
        <w:rPr>
          <w:spacing w:val="4"/>
        </w:rPr>
        <w:t>Liquid</w:t>
      </w:r>
      <w:r>
        <w:t xml:space="preserve"> </w:t>
      </w:r>
      <w:r>
        <w:rPr>
          <w:b/>
          <w:bCs/>
          <w:spacing w:val="3"/>
        </w:rPr>
        <w:t>Storage buffer:</w:t>
      </w:r>
    </w:p>
    <w:p w14:paraId="5208EDF5">
      <w:pPr>
        <w:pStyle w:val="2"/>
        <w:spacing w:before="28" w:line="199" w:lineRule="auto"/>
        <w:ind w:left="543"/>
      </w:pPr>
      <w:r>
        <w:rPr>
          <w:spacing w:val="3"/>
        </w:rPr>
        <w:t>Preservative: no</w:t>
      </w:r>
    </w:p>
    <w:p w14:paraId="4A5B3746">
      <w:pPr>
        <w:pStyle w:val="2"/>
        <w:spacing w:before="106" w:line="315" w:lineRule="auto"/>
        <w:ind w:left="547" w:right="518"/>
      </w:pPr>
      <w:r>
        <w:t>Constituents</w:t>
      </w:r>
      <w:r>
        <w:rPr>
          <w:spacing w:val="11"/>
        </w:rPr>
        <w:t xml:space="preserve">: </w:t>
      </w:r>
      <w:r>
        <w:t>PBS</w:t>
      </w:r>
      <w:r>
        <w:rPr>
          <w:spacing w:val="11"/>
        </w:rPr>
        <w:t xml:space="preserve"> (</w:t>
      </w:r>
      <w:r>
        <w:t>without</w:t>
      </w:r>
      <w:r>
        <w:rPr>
          <w:spacing w:val="11"/>
        </w:rPr>
        <w:t xml:space="preserve"> </w:t>
      </w:r>
      <w:r>
        <w:t>Mg</w:t>
      </w:r>
      <w:r>
        <w:rPr>
          <w:spacing w:val="11"/>
          <w:position w:val="6"/>
          <w:sz w:val="13"/>
          <w:szCs w:val="13"/>
        </w:rPr>
        <w:t xml:space="preserve">2+  </w:t>
      </w:r>
      <w:r>
        <w:t>and</w:t>
      </w:r>
      <w:r>
        <w:rPr>
          <w:spacing w:val="11"/>
        </w:rPr>
        <w:t xml:space="preserve"> </w:t>
      </w:r>
      <w:r>
        <w:t>Ca</w:t>
      </w:r>
      <w:r>
        <w:rPr>
          <w:spacing w:val="11"/>
          <w:position w:val="6"/>
          <w:sz w:val="13"/>
          <w:szCs w:val="13"/>
        </w:rPr>
        <w:t>2+</w:t>
      </w:r>
      <w:r>
        <w:rPr>
          <w:spacing w:val="11"/>
        </w:rPr>
        <w:t xml:space="preserve">), </w:t>
      </w:r>
      <w:r>
        <w:t>pH</w:t>
      </w:r>
      <w:r>
        <w:rPr>
          <w:spacing w:val="1"/>
        </w:rPr>
        <w:t xml:space="preserve"> </w:t>
      </w:r>
      <w:r>
        <w:rPr>
          <w:spacing w:val="6"/>
        </w:rPr>
        <w:t>7.4,</w:t>
      </w:r>
      <w:r>
        <w:rPr>
          <w:spacing w:val="34"/>
        </w:rPr>
        <w:t xml:space="preserve"> </w:t>
      </w:r>
      <w:r>
        <w:rPr>
          <w:spacing w:val="6"/>
        </w:rPr>
        <w:t xml:space="preserve">150 </w:t>
      </w:r>
      <w:r>
        <w:t>mM</w:t>
      </w:r>
      <w:r>
        <w:rPr>
          <w:spacing w:val="6"/>
        </w:rPr>
        <w:t xml:space="preserve"> </w:t>
      </w:r>
      <w:r>
        <w:t>NaCl</w:t>
      </w:r>
      <w:r>
        <w:rPr>
          <w:spacing w:val="6"/>
        </w:rPr>
        <w:t xml:space="preserve">, 50% </w:t>
      </w:r>
      <w:r>
        <w:t>glycerol</w:t>
      </w:r>
    </w:p>
    <w:p w14:paraId="55853D29">
      <w:pPr>
        <w:pStyle w:val="2"/>
        <w:spacing w:before="36" w:line="309" w:lineRule="auto"/>
        <w:ind w:left="539" w:right="459" w:firstLine="11"/>
      </w:pPr>
      <w:r>
        <w:rPr>
          <w:b/>
          <w:bCs/>
        </w:rPr>
        <w:t>Species</w:t>
      </w:r>
      <w:r>
        <w:rPr>
          <w:b/>
          <w:bCs/>
          <w:spacing w:val="14"/>
        </w:rPr>
        <w:t xml:space="preserve"> </w:t>
      </w:r>
      <w:r>
        <w:rPr>
          <w:b/>
          <w:bCs/>
        </w:rPr>
        <w:t>Reactivity</w:t>
      </w:r>
      <w:r>
        <w:rPr>
          <w:b/>
          <w:bCs/>
          <w:spacing w:val="14"/>
        </w:rPr>
        <w:t xml:space="preserve">: </w:t>
      </w:r>
      <w:r>
        <w:t>recognizes</w:t>
      </w:r>
      <w:r>
        <w:rPr>
          <w:spacing w:val="14"/>
        </w:rPr>
        <w:t xml:space="preserve"> </w:t>
      </w:r>
      <w:r>
        <w:t>EGFR</w:t>
      </w:r>
      <w:r>
        <w:rPr>
          <w:spacing w:val="14"/>
        </w:rPr>
        <w:t xml:space="preserve"> (T854A),</w:t>
      </w:r>
      <w:r>
        <w:t xml:space="preserve"> </w:t>
      </w:r>
      <w:r>
        <w:rPr>
          <w:spacing w:val="4"/>
        </w:rPr>
        <w:t>but not wild type EGFR from vertebrates.</w:t>
      </w:r>
    </w:p>
    <w:p w14:paraId="062416E6">
      <w:pPr>
        <w:pStyle w:val="2"/>
        <w:spacing w:before="32" w:line="309" w:lineRule="auto"/>
        <w:ind w:left="548" w:right="867" w:firstLine="2"/>
      </w:pPr>
      <w:r>
        <w:rPr>
          <w:b/>
          <w:bCs/>
        </w:rPr>
        <w:t>Storage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Conditions</w:t>
      </w:r>
      <w:r>
        <w:rPr>
          <w:b/>
          <w:bCs/>
          <w:spacing w:val="12"/>
        </w:rPr>
        <w:t>:</w:t>
      </w:r>
      <w:r>
        <w:rPr>
          <w:b/>
          <w:bCs/>
          <w:spacing w:val="29"/>
          <w:w w:val="101"/>
        </w:rPr>
        <w:t xml:space="preserve"> </w:t>
      </w:r>
      <w:r>
        <w:t>Store</w:t>
      </w:r>
      <w:r>
        <w:rPr>
          <w:spacing w:val="12"/>
        </w:rPr>
        <w:t xml:space="preserve"> </w:t>
      </w:r>
      <w:r>
        <w:t>at</w:t>
      </w:r>
      <w:r>
        <w:rPr>
          <w:spacing w:val="12"/>
        </w:rPr>
        <w:t xml:space="preserve"> -20°C.</w:t>
      </w:r>
      <w:r>
        <w:rPr>
          <w:spacing w:val="-7"/>
        </w:rPr>
        <w:t xml:space="preserve"> </w:t>
      </w:r>
      <w:r>
        <w:t>Avoid freeze</w:t>
      </w:r>
      <w:r>
        <w:rPr>
          <w:spacing w:val="14"/>
        </w:rPr>
        <w:t xml:space="preserve"> / </w:t>
      </w:r>
      <w:r>
        <w:t>thaw</w:t>
      </w:r>
      <w:r>
        <w:rPr>
          <w:spacing w:val="14"/>
        </w:rPr>
        <w:t xml:space="preserve"> </w:t>
      </w:r>
      <w:r>
        <w:t>cycles</w:t>
      </w:r>
      <w:r>
        <w:rPr>
          <w:spacing w:val="14"/>
        </w:rPr>
        <w:t>.</w:t>
      </w:r>
    </w:p>
    <w:p w14:paraId="34957654">
      <w:pPr>
        <w:spacing w:line="31" w:lineRule="exact"/>
      </w:pPr>
    </w:p>
    <w:p w14:paraId="19EA01EC">
      <w:pPr>
        <w:spacing w:line="14" w:lineRule="auto"/>
        <w:rPr>
          <w:rFonts w:ascii="Arial"/>
          <w:sz w:val="2"/>
        </w:rPr>
      </w:pPr>
      <w:r>
        <w:rPr>
          <w:rFonts w:ascii="Arial" w:hAnsi="Arial" w:eastAsia="Arial" w:cs="Arial"/>
          <w:sz w:val="2"/>
          <w:szCs w:val="2"/>
        </w:rPr>
        <w:br w:type="column"/>
      </w:r>
    </w:p>
    <w:p w14:paraId="7195B3D9">
      <w:pPr>
        <w:pStyle w:val="2"/>
        <w:spacing w:before="67" w:line="192" w:lineRule="auto"/>
      </w:pPr>
      <w:r>
        <w:rPr>
          <w:b/>
          <w:bCs/>
          <w:spacing w:val="3"/>
        </w:rPr>
        <w:t>Western blot:</w:t>
      </w:r>
    </w:p>
    <w:p w14:paraId="57E1952F">
      <w:pPr>
        <w:spacing w:before="37" w:line="4368" w:lineRule="exact"/>
        <w:ind w:firstLine="1087"/>
      </w:pPr>
      <w:r>
        <w:rPr>
          <w:position w:val="-87"/>
        </w:rPr>
        <w:drawing>
          <wp:inline distT="0" distB="0" distL="0" distR="0">
            <wp:extent cx="1548130" cy="2773045"/>
            <wp:effectExtent l="0" t="0" r="0" b="0"/>
            <wp:docPr id="8" name="IM 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 8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1548384" cy="277367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725ADAF">
      <w:pPr>
        <w:pStyle w:val="2"/>
        <w:spacing w:before="87" w:line="308" w:lineRule="auto"/>
        <w:ind w:left="6" w:right="921" w:hanging="6"/>
      </w:pPr>
      <w:r>
        <w:rPr>
          <w:b/>
          <w:bCs/>
          <w:spacing w:val="4"/>
        </w:rPr>
        <w:t>Western blot analysis of recombinant EGFR</w:t>
      </w:r>
      <w:r>
        <w:rPr>
          <w:b/>
          <w:bCs/>
          <w:spacing w:val="5"/>
        </w:rPr>
        <w:t xml:space="preserve"> </w:t>
      </w:r>
      <w:r>
        <w:rPr>
          <w:b/>
          <w:bCs/>
          <w:spacing w:val="12"/>
        </w:rPr>
        <w:t xml:space="preserve">(T854A) </w:t>
      </w:r>
      <w:r>
        <w:rPr>
          <w:b/>
          <w:bCs/>
        </w:rPr>
        <w:t>and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wildtype</w:t>
      </w:r>
      <w:r>
        <w:rPr>
          <w:b/>
          <w:bCs/>
          <w:spacing w:val="12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2"/>
        </w:rPr>
        <w:t xml:space="preserve">. </w:t>
      </w:r>
      <w:r>
        <w:t>Purified</w:t>
      </w:r>
    </w:p>
    <w:p w14:paraId="483C066F">
      <w:pPr>
        <w:pStyle w:val="2"/>
        <w:spacing w:before="31" w:line="309" w:lineRule="auto"/>
        <w:ind w:left="4" w:right="887" w:hanging="3"/>
      </w:pPr>
      <w:r>
        <w:t>His</w:t>
      </w:r>
      <w:r>
        <w:rPr>
          <w:spacing w:val="9"/>
        </w:rPr>
        <w:t>-</w:t>
      </w:r>
      <w:r>
        <w:t>tagged</w:t>
      </w:r>
      <w:r>
        <w:rPr>
          <w:spacing w:val="9"/>
        </w:rPr>
        <w:t xml:space="preserve"> </w:t>
      </w:r>
      <w:r>
        <w:t>EGFR</w:t>
      </w:r>
      <w:r>
        <w:rPr>
          <w:spacing w:val="9"/>
        </w:rPr>
        <w:t xml:space="preserve"> (T854A) </w:t>
      </w:r>
      <w:r>
        <w:t>protein</w:t>
      </w:r>
      <w:r>
        <w:rPr>
          <w:spacing w:val="9"/>
        </w:rPr>
        <w:t xml:space="preserve"> (</w:t>
      </w:r>
      <w:r>
        <w:t>lane</w:t>
      </w:r>
      <w:r>
        <w:rPr>
          <w:spacing w:val="40"/>
        </w:rPr>
        <w:t xml:space="preserve"> </w:t>
      </w:r>
      <w:r>
        <w:rPr>
          <w:spacing w:val="9"/>
        </w:rPr>
        <w:t>1)</w:t>
      </w:r>
      <w:r>
        <w:rPr>
          <w:spacing w:val="10"/>
        </w:rPr>
        <w:t xml:space="preserve"> </w:t>
      </w:r>
      <w:r>
        <w:t xml:space="preserve">and </w:t>
      </w:r>
      <w:r>
        <w:rPr>
          <w:spacing w:val="4"/>
        </w:rPr>
        <w:t>corresponding wild type protein (amino a</w:t>
      </w:r>
      <w:r>
        <w:rPr>
          <w:spacing w:val="3"/>
        </w:rPr>
        <w:t>cids</w:t>
      </w:r>
    </w:p>
    <w:p w14:paraId="13676F1A">
      <w:pPr>
        <w:pStyle w:val="2"/>
        <w:spacing w:before="33" w:line="309" w:lineRule="auto"/>
        <w:ind w:left="5" w:right="1011"/>
      </w:pPr>
      <w:r>
        <w:rPr>
          <w:spacing w:val="10"/>
        </w:rPr>
        <w:t xml:space="preserve">702-987, </w:t>
      </w:r>
      <w:r>
        <w:t>lane</w:t>
      </w:r>
      <w:r>
        <w:rPr>
          <w:spacing w:val="10"/>
        </w:rPr>
        <w:t xml:space="preserve"> 2) </w:t>
      </w:r>
      <w:r>
        <w:t>were</w:t>
      </w:r>
      <w:r>
        <w:rPr>
          <w:spacing w:val="10"/>
        </w:rPr>
        <w:t xml:space="preserve"> </w:t>
      </w:r>
      <w:r>
        <w:t>blotted</w:t>
      </w:r>
      <w:r>
        <w:rPr>
          <w:spacing w:val="10"/>
        </w:rPr>
        <w:t xml:space="preserve"> </w:t>
      </w:r>
      <w:r>
        <w:t>with</w:t>
      </w:r>
      <w:r>
        <w:rPr>
          <w:spacing w:val="10"/>
        </w:rPr>
        <w:t xml:space="preserve"> </w:t>
      </w:r>
      <w:r>
        <w:t>anti</w:t>
      </w:r>
      <w:r>
        <w:rPr>
          <w:spacing w:val="10"/>
        </w:rPr>
        <w:t>-</w:t>
      </w:r>
      <w:r>
        <w:t>EGFR</w:t>
      </w:r>
      <w:r>
        <w:rPr>
          <w:spacing w:val="3"/>
        </w:rPr>
        <w:t xml:space="preserve"> </w:t>
      </w:r>
      <w:r>
        <w:rPr>
          <w:spacing w:val="12"/>
        </w:rPr>
        <w:t xml:space="preserve">(T854A) </w:t>
      </w:r>
      <w:r>
        <w:t>mouse</w:t>
      </w:r>
      <w:r>
        <w:rPr>
          <w:spacing w:val="12"/>
        </w:rPr>
        <w:t xml:space="preserve"> </w:t>
      </w:r>
      <w:r>
        <w:t>monoclonal</w:t>
      </w:r>
      <w:r>
        <w:rPr>
          <w:spacing w:val="12"/>
        </w:rPr>
        <w:t xml:space="preserve"> </w:t>
      </w:r>
      <w:r>
        <w:t>antibody</w:t>
      </w:r>
      <w:r>
        <w:rPr>
          <w:spacing w:val="12"/>
        </w:rPr>
        <w:t xml:space="preserve"> (</w:t>
      </w:r>
      <w:r>
        <w:t>Cat</w:t>
      </w:r>
      <w:r>
        <w:rPr>
          <w:spacing w:val="12"/>
        </w:rPr>
        <w:t>.</w:t>
      </w:r>
    </w:p>
    <w:p w14:paraId="79CE7571">
      <w:pPr>
        <w:pStyle w:val="2"/>
        <w:spacing w:before="30" w:line="201" w:lineRule="auto"/>
        <w:ind w:left="1"/>
      </w:pPr>
      <w:r>
        <w:rPr>
          <w:spacing w:val="5"/>
        </w:rPr>
        <w:t>#26481).</w:t>
      </w:r>
    </w:p>
    <w:p w14:paraId="341C21F3">
      <w:pPr>
        <w:spacing w:line="201" w:lineRule="auto"/>
        <w:sectPr>
          <w:type w:val="continuous"/>
          <w:pgSz w:w="11906" w:h="16839"/>
          <w:pgMar w:top="851" w:right="595" w:bottom="0" w:left="1259" w:header="0" w:footer="0" w:gutter="0"/>
          <w:cols w:equalWidth="0" w:num="2">
            <w:col w:w="5065" w:space="100"/>
            <w:col w:w="4886"/>
          </w:cols>
        </w:sectPr>
      </w:pPr>
    </w:p>
    <w:p w14:paraId="25490D1F">
      <w:pPr>
        <w:spacing w:line="344" w:lineRule="auto"/>
        <w:rPr>
          <w:rFonts w:ascii="Arial"/>
          <w:sz w:val="21"/>
        </w:rPr>
      </w:pPr>
    </w:p>
    <w:p w14:paraId="0E446AFA">
      <w:pPr>
        <w:spacing w:line="345" w:lineRule="auto"/>
        <w:rPr>
          <w:rFonts w:ascii="Arial"/>
          <w:sz w:val="21"/>
        </w:rPr>
      </w:pPr>
    </w:p>
    <w:p w14:paraId="57964D5B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0" name="I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IM 10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DD48022">
      <w:pPr>
        <w:spacing w:before="193" w:line="198" w:lineRule="auto"/>
        <w:ind w:left="2072"/>
        <w:rPr>
          <w:rFonts w:ascii="Arial" w:hAnsi="Arial" w:eastAsia="Arial" w:cs="Arial"/>
          <w:sz w:val="18"/>
          <w:szCs w:val="18"/>
        </w:rPr>
      </w:pPr>
      <w:r>
        <w:rPr>
          <w:rFonts w:ascii="Arial" w:hAnsi="Arial" w:eastAsia="Arial" w:cs="Arial"/>
          <w:b/>
          <w:bCs/>
          <w:sz w:val="18"/>
          <w:szCs w:val="18"/>
        </w:rPr>
        <w:t>For research use only. Not fo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r diagnostic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or therapeutic</w:t>
      </w:r>
      <w:r>
        <w:rPr>
          <w:rFonts w:ascii="Arial" w:hAnsi="Arial" w:eastAsia="Arial" w:cs="Arial"/>
          <w:b/>
          <w:bCs/>
          <w:spacing w:val="6"/>
          <w:sz w:val="18"/>
          <w:szCs w:val="18"/>
        </w:rPr>
        <w:t xml:space="preserve"> </w:t>
      </w:r>
      <w:r>
        <w:rPr>
          <w:rFonts w:ascii="Arial" w:hAnsi="Arial" w:eastAsia="Arial" w:cs="Arial"/>
          <w:b/>
          <w:bCs/>
          <w:spacing w:val="-1"/>
          <w:sz w:val="18"/>
          <w:szCs w:val="18"/>
        </w:rPr>
        <w:t>applications.</w:t>
      </w:r>
    </w:p>
    <w:p w14:paraId="7AC8D3A9">
      <w:pPr>
        <w:pStyle w:val="2"/>
        <w:spacing w:before="1" w:line="236" w:lineRule="auto"/>
        <w:ind w:left="2284"/>
      </w:pPr>
    </w:p>
    <w:p w14:paraId="7D2DE6E1">
      <w:pPr>
        <w:spacing w:line="236" w:lineRule="auto"/>
        <w:sectPr>
          <w:type w:val="continuous"/>
          <w:pgSz w:w="11906" w:h="16839"/>
          <w:pgMar w:top="851" w:right="595" w:bottom="0" w:left="1259" w:header="0" w:footer="0" w:gutter="0"/>
          <w:cols w:equalWidth="0" w:num="1">
            <w:col w:w="10051"/>
          </w:cols>
        </w:sectPr>
      </w:pPr>
    </w:p>
    <w:p w14:paraId="3192C5B7">
      <w:pPr>
        <w:spacing w:line="1305" w:lineRule="exact"/>
        <w:ind w:firstLine="540"/>
      </w:pPr>
    </w:p>
    <w:p w14:paraId="1716746B">
      <w:pPr>
        <w:spacing w:before="188" w:line="61" w:lineRule="exact"/>
      </w:pPr>
      <w:r>
        <w:rPr>
          <w:position w:val="-1"/>
        </w:rPr>
        <w:drawing>
          <wp:inline distT="0" distB="0" distL="0" distR="0">
            <wp:extent cx="6381750" cy="38100"/>
            <wp:effectExtent l="0" t="0" r="0" b="0"/>
            <wp:docPr id="14" name="IM 14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IM 14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55023BE">
      <w:pPr>
        <w:pStyle w:val="2"/>
        <w:spacing w:before="174" w:line="195" w:lineRule="auto"/>
        <w:ind w:left="544"/>
      </w:pPr>
      <w:r>
        <w:rPr>
          <w:b/>
          <w:bCs/>
          <w:spacing w:val="4"/>
        </w:rPr>
        <w:t>Immunofluorescence:</w:t>
      </w:r>
    </w:p>
    <w:p w14:paraId="2C8475A0">
      <w:pPr>
        <w:spacing w:line="246" w:lineRule="auto"/>
        <w:rPr>
          <w:rFonts w:ascii="Arial"/>
          <w:sz w:val="21"/>
        </w:rPr>
      </w:pPr>
    </w:p>
    <w:p w14:paraId="42B8D737">
      <w:pPr>
        <w:spacing w:line="4006" w:lineRule="exact"/>
        <w:ind w:firstLine="779"/>
      </w:pPr>
      <w:r>
        <w:rPr>
          <w:position w:val="-80"/>
        </w:rPr>
        <w:drawing>
          <wp:inline distT="0" distB="0" distL="0" distR="0">
            <wp:extent cx="2442210" cy="2543810"/>
            <wp:effectExtent l="0" t="0" r="0" b="0"/>
            <wp:docPr id="16" name="IM 16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IM 16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2442819" cy="25438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4E73BE1">
      <w:pPr>
        <w:pStyle w:val="2"/>
        <w:spacing w:before="239" w:line="309" w:lineRule="auto"/>
        <w:ind w:left="543" w:right="5342"/>
      </w:pPr>
      <w:r>
        <w:rPr>
          <w:b/>
          <w:bCs/>
          <w:spacing w:val="4"/>
        </w:rPr>
        <w:t>Immunofluorescence of cells expressing EGFR</w:t>
      </w:r>
      <w:r>
        <w:rPr>
          <w:b/>
          <w:bCs/>
          <w:spacing w:val="13"/>
          <w:w w:val="101"/>
        </w:rPr>
        <w:t xml:space="preserve"> </w:t>
      </w:r>
      <w:r>
        <w:rPr>
          <w:b/>
          <w:bCs/>
        </w:rPr>
        <w:t>proteins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with</w:t>
      </w:r>
      <w:r>
        <w:rPr>
          <w:b/>
          <w:bCs/>
          <w:spacing w:val="13"/>
        </w:rPr>
        <w:t xml:space="preserve"> </w:t>
      </w:r>
      <w:r>
        <w:rPr>
          <w:b/>
          <w:bCs/>
        </w:rPr>
        <w:t>anti</w:t>
      </w:r>
      <w:r>
        <w:rPr>
          <w:b/>
          <w:bCs/>
          <w:spacing w:val="13"/>
        </w:rPr>
        <w:t>-</w:t>
      </w:r>
      <w:r>
        <w:rPr>
          <w:b/>
          <w:bCs/>
        </w:rPr>
        <w:t>EGFR</w:t>
      </w:r>
      <w:r>
        <w:rPr>
          <w:b/>
          <w:bCs/>
          <w:spacing w:val="13"/>
        </w:rPr>
        <w:t xml:space="preserve"> (T854A) </w:t>
      </w:r>
      <w:r>
        <w:rPr>
          <w:b/>
          <w:bCs/>
        </w:rPr>
        <w:t>antibody</w:t>
      </w:r>
      <w:r>
        <w:rPr>
          <w:b/>
          <w:bCs/>
          <w:spacing w:val="13"/>
        </w:rPr>
        <w:t>.</w:t>
      </w:r>
    </w:p>
    <w:p w14:paraId="32B7A6E2">
      <w:pPr>
        <w:pStyle w:val="2"/>
        <w:spacing w:before="27" w:line="199" w:lineRule="auto"/>
        <w:ind w:left="543"/>
      </w:pPr>
      <w:r>
        <w:t>HEK</w:t>
      </w:r>
      <w:r>
        <w:rPr>
          <w:spacing w:val="20"/>
        </w:rPr>
        <w:t>293</w:t>
      </w:r>
      <w:r>
        <w:t>T</w:t>
      </w:r>
      <w:r>
        <w:rPr>
          <w:spacing w:val="20"/>
        </w:rPr>
        <w:t xml:space="preserve"> </w:t>
      </w:r>
      <w:r>
        <w:t>cells</w:t>
      </w:r>
      <w:r>
        <w:rPr>
          <w:spacing w:val="20"/>
        </w:rPr>
        <w:t xml:space="preserve"> </w:t>
      </w:r>
      <w:r>
        <w:t>were</w:t>
      </w:r>
      <w:r>
        <w:rPr>
          <w:spacing w:val="20"/>
        </w:rPr>
        <w:t xml:space="preserve"> </w:t>
      </w:r>
      <w:r>
        <w:t>transfected</w:t>
      </w:r>
      <w:r>
        <w:rPr>
          <w:spacing w:val="20"/>
        </w:rPr>
        <w:t xml:space="preserve"> </w:t>
      </w:r>
      <w:r>
        <w:t>with</w:t>
      </w:r>
    </w:p>
    <w:p w14:paraId="37D0A454">
      <w:pPr>
        <w:pStyle w:val="2"/>
        <w:spacing w:before="121" w:line="315" w:lineRule="auto"/>
        <w:ind w:left="546" w:right="5226" w:hanging="7"/>
      </w:pPr>
      <w:r>
        <w:rPr>
          <w:spacing w:val="5"/>
        </w:rPr>
        <w:t>pCDNA3-GFP-EGFR (WT) plasmid (left</w:t>
      </w:r>
      <w:r>
        <w:rPr>
          <w:spacing w:val="23"/>
        </w:rPr>
        <w:t xml:space="preserve"> </w:t>
      </w:r>
      <w:r>
        <w:rPr>
          <w:spacing w:val="5"/>
        </w:rPr>
        <w:t>column)</w:t>
      </w:r>
      <w:r>
        <w:t xml:space="preserve"> or</w:t>
      </w:r>
      <w:r>
        <w:rPr>
          <w:spacing w:val="12"/>
        </w:rPr>
        <w:t xml:space="preserve"> </w:t>
      </w:r>
      <w:r>
        <w:t>pCDNA</w:t>
      </w:r>
      <w:r>
        <w:rPr>
          <w:spacing w:val="12"/>
        </w:rPr>
        <w:t>3-</w:t>
      </w:r>
      <w:r>
        <w:t>GFP</w:t>
      </w:r>
      <w:r>
        <w:rPr>
          <w:spacing w:val="12"/>
        </w:rPr>
        <w:t>-</w:t>
      </w:r>
      <w:r>
        <w:t>EGFR</w:t>
      </w:r>
      <w:r>
        <w:rPr>
          <w:spacing w:val="12"/>
        </w:rPr>
        <w:t xml:space="preserve"> (T854A) </w:t>
      </w:r>
      <w:r>
        <w:t>plasmid</w:t>
      </w:r>
      <w:r>
        <w:rPr>
          <w:spacing w:val="12"/>
        </w:rPr>
        <w:t xml:space="preserve"> (</w:t>
      </w:r>
      <w:r>
        <w:t>right</w:t>
      </w:r>
      <w:r>
        <w:rPr>
          <w:spacing w:val="1"/>
        </w:rPr>
        <w:t xml:space="preserve">    </w:t>
      </w:r>
      <w:r>
        <w:rPr>
          <w:spacing w:val="4"/>
        </w:rPr>
        <w:t>column), then fixed and stain</w:t>
      </w:r>
      <w:r>
        <w:rPr>
          <w:spacing w:val="3"/>
        </w:rPr>
        <w:t>ed with</w:t>
      </w:r>
      <w:r>
        <w:rPr>
          <w:spacing w:val="13"/>
          <w:w w:val="101"/>
        </w:rPr>
        <w:t xml:space="preserve"> </w:t>
      </w:r>
      <w:r>
        <w:rPr>
          <w:spacing w:val="3"/>
        </w:rPr>
        <w:t>anti-</w:t>
      </w:r>
      <w:r>
        <w:rPr>
          <w:spacing w:val="7"/>
        </w:rPr>
        <w:t xml:space="preserve"> </w:t>
      </w:r>
      <w:r>
        <w:rPr>
          <w:spacing w:val="3"/>
        </w:rPr>
        <w:t>EGFR</w:t>
      </w:r>
    </w:p>
    <w:p w14:paraId="64049A60">
      <w:pPr>
        <w:pStyle w:val="2"/>
        <w:spacing w:before="31" w:line="201" w:lineRule="auto"/>
        <w:ind w:left="548"/>
      </w:pPr>
      <w:r>
        <w:rPr>
          <w:spacing w:val="8"/>
        </w:rPr>
        <w:t xml:space="preserve">(T854A) </w:t>
      </w:r>
      <w:r>
        <w:t>monoclonal</w:t>
      </w:r>
      <w:r>
        <w:rPr>
          <w:spacing w:val="8"/>
        </w:rPr>
        <w:t xml:space="preserve"> </w:t>
      </w:r>
      <w:r>
        <w:t>antibody</w:t>
      </w:r>
      <w:r>
        <w:rPr>
          <w:spacing w:val="8"/>
        </w:rPr>
        <w:t xml:space="preserve"> (</w:t>
      </w:r>
      <w:r>
        <w:t>Cat</w:t>
      </w:r>
      <w:r>
        <w:rPr>
          <w:spacing w:val="8"/>
        </w:rPr>
        <w:t>. #26481).</w:t>
      </w:r>
    </w:p>
    <w:p w14:paraId="3C7888F8">
      <w:pPr>
        <w:spacing w:line="245" w:lineRule="auto"/>
        <w:rPr>
          <w:rFonts w:ascii="Arial"/>
          <w:sz w:val="21"/>
        </w:rPr>
      </w:pPr>
    </w:p>
    <w:p w14:paraId="5F209B7F">
      <w:pPr>
        <w:spacing w:line="245" w:lineRule="auto"/>
        <w:rPr>
          <w:rFonts w:ascii="Arial"/>
          <w:sz w:val="21"/>
        </w:rPr>
      </w:pPr>
    </w:p>
    <w:p w14:paraId="397E62BF">
      <w:pPr>
        <w:spacing w:line="245" w:lineRule="auto"/>
        <w:rPr>
          <w:rFonts w:ascii="Arial"/>
          <w:sz w:val="21"/>
        </w:rPr>
      </w:pPr>
    </w:p>
    <w:p w14:paraId="603EF0C6">
      <w:pPr>
        <w:spacing w:line="246" w:lineRule="auto"/>
        <w:rPr>
          <w:rFonts w:ascii="Arial"/>
          <w:sz w:val="21"/>
        </w:rPr>
      </w:pPr>
    </w:p>
    <w:p w14:paraId="792811C8">
      <w:pPr>
        <w:spacing w:line="246" w:lineRule="auto"/>
        <w:rPr>
          <w:rFonts w:ascii="Arial"/>
          <w:sz w:val="21"/>
        </w:rPr>
      </w:pPr>
    </w:p>
    <w:p w14:paraId="3859A7D4">
      <w:pPr>
        <w:spacing w:line="246" w:lineRule="auto"/>
        <w:rPr>
          <w:rFonts w:ascii="Arial"/>
          <w:sz w:val="21"/>
        </w:rPr>
      </w:pPr>
    </w:p>
    <w:p w14:paraId="6183A0E1">
      <w:pPr>
        <w:spacing w:line="246" w:lineRule="auto"/>
        <w:rPr>
          <w:rFonts w:ascii="Arial"/>
          <w:sz w:val="21"/>
        </w:rPr>
      </w:pPr>
    </w:p>
    <w:p w14:paraId="3B8AF3FD">
      <w:pPr>
        <w:spacing w:line="246" w:lineRule="auto"/>
        <w:rPr>
          <w:rFonts w:ascii="Arial"/>
          <w:sz w:val="21"/>
        </w:rPr>
      </w:pPr>
    </w:p>
    <w:p w14:paraId="4903B056">
      <w:pPr>
        <w:spacing w:line="246" w:lineRule="auto"/>
        <w:rPr>
          <w:rFonts w:ascii="Arial"/>
          <w:sz w:val="21"/>
        </w:rPr>
      </w:pPr>
    </w:p>
    <w:p w14:paraId="5189AE9F">
      <w:pPr>
        <w:spacing w:line="246" w:lineRule="auto"/>
        <w:rPr>
          <w:rFonts w:ascii="Arial"/>
          <w:sz w:val="21"/>
        </w:rPr>
      </w:pPr>
    </w:p>
    <w:p w14:paraId="4BE56450">
      <w:pPr>
        <w:spacing w:line="246" w:lineRule="auto"/>
        <w:rPr>
          <w:rFonts w:ascii="Arial"/>
          <w:sz w:val="21"/>
        </w:rPr>
      </w:pPr>
    </w:p>
    <w:p w14:paraId="2334BD3E">
      <w:pPr>
        <w:spacing w:line="246" w:lineRule="auto"/>
        <w:rPr>
          <w:rFonts w:ascii="Arial"/>
          <w:sz w:val="21"/>
        </w:rPr>
      </w:pPr>
    </w:p>
    <w:p w14:paraId="6192F21C">
      <w:pPr>
        <w:spacing w:line="246" w:lineRule="auto"/>
        <w:rPr>
          <w:rFonts w:ascii="Arial"/>
          <w:sz w:val="21"/>
        </w:rPr>
      </w:pPr>
    </w:p>
    <w:p w14:paraId="01663A19">
      <w:pPr>
        <w:spacing w:line="246" w:lineRule="auto"/>
        <w:rPr>
          <w:rFonts w:ascii="Arial"/>
          <w:sz w:val="21"/>
        </w:rPr>
      </w:pPr>
    </w:p>
    <w:p w14:paraId="0F09DF93">
      <w:pPr>
        <w:spacing w:line="246" w:lineRule="auto"/>
        <w:rPr>
          <w:rFonts w:ascii="Arial"/>
          <w:sz w:val="21"/>
        </w:rPr>
      </w:pPr>
      <w:bookmarkStart w:id="0" w:name="_GoBack"/>
      <w:bookmarkEnd w:id="0"/>
    </w:p>
    <w:p w14:paraId="30D71A88">
      <w:pPr>
        <w:spacing w:line="246" w:lineRule="auto"/>
        <w:rPr>
          <w:rFonts w:ascii="Arial"/>
          <w:sz w:val="21"/>
        </w:rPr>
      </w:pPr>
    </w:p>
    <w:p w14:paraId="0E2E2002">
      <w:pPr>
        <w:spacing w:line="246" w:lineRule="auto"/>
        <w:rPr>
          <w:rFonts w:ascii="Arial"/>
          <w:sz w:val="21"/>
        </w:rPr>
      </w:pPr>
    </w:p>
    <w:p w14:paraId="49104788">
      <w:pPr>
        <w:spacing w:line="246" w:lineRule="auto"/>
        <w:rPr>
          <w:rFonts w:ascii="Arial"/>
          <w:sz w:val="21"/>
        </w:rPr>
      </w:pPr>
    </w:p>
    <w:p w14:paraId="1B9771B6">
      <w:pPr>
        <w:spacing w:line="246" w:lineRule="auto"/>
        <w:rPr>
          <w:rFonts w:ascii="Arial"/>
          <w:sz w:val="21"/>
        </w:rPr>
      </w:pPr>
    </w:p>
    <w:p w14:paraId="11249ED7">
      <w:pPr>
        <w:spacing w:line="246" w:lineRule="auto"/>
        <w:rPr>
          <w:rFonts w:ascii="Arial"/>
          <w:sz w:val="21"/>
        </w:rPr>
      </w:pPr>
    </w:p>
    <w:p w14:paraId="2CA3485B">
      <w:pPr>
        <w:spacing w:before="1" w:line="61" w:lineRule="exact"/>
      </w:pPr>
      <w:r>
        <w:rPr>
          <w:position w:val="-1"/>
        </w:rPr>
        <w:drawing>
          <wp:inline distT="0" distB="0" distL="0" distR="0">
            <wp:extent cx="6381750" cy="38735"/>
            <wp:effectExtent l="0" t="0" r="0" b="0"/>
            <wp:docPr id="18" name="IM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IM 18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6381751" cy="387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footerReference r:id="rId5" w:type="default"/>
      <w:pgSz w:w="11906" w:h="16839"/>
      <w:pgMar w:top="851" w:right="595" w:bottom="1818" w:left="1259" w:header="0" w:footer="992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DA9FC83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科博瑞（武汉）生物科技有限公司</w:t>
    </w:r>
  </w:p>
  <w:p w14:paraId="280802E6">
    <w:p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TEL：027-87615885  15972062685</w:t>
    </w:r>
  </w:p>
  <w:p w14:paraId="41456E60">
    <w:pPr>
      <w:numPr>
        <w:ilvl w:val="0"/>
        <w:numId w:val="1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mail：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begin"/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instrText xml:space="preserve"> HYPERLINK "mailto:3636901710@qq.com" </w:instrTex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separate"/>
    </w:r>
    <w:r>
      <w:rPr>
        <w:rStyle w:val="7"/>
        <w:rFonts w:hint="default" w:ascii="Arial" w:hAnsi="Arial" w:eastAsia="宋体" w:cs="Arial"/>
        <w:b/>
        <w:bCs/>
        <w:sz w:val="18"/>
        <w:szCs w:val="18"/>
        <w:lang w:val="en-US" w:eastAsia="zh-CN"/>
      </w:rPr>
      <w:t>3636901710@qq.com</w:t>
    </w: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fldChar w:fldCharType="end"/>
    </w:r>
  </w:p>
  <w:p w14:paraId="61923241">
    <w:pPr>
      <w:numPr>
        <w:ilvl w:val="0"/>
        <w:numId w:val="0"/>
      </w:numPr>
      <w:rPr>
        <w:rFonts w:hint="default" w:ascii="Arial" w:hAnsi="Arial" w:eastAsia="宋体" w:cs="Arial"/>
        <w:b/>
        <w:bCs/>
        <w:sz w:val="18"/>
        <w:szCs w:val="18"/>
        <w:lang w:val="en-US" w:eastAsia="zh-CN"/>
      </w:rPr>
    </w:pPr>
    <w:r>
      <w:rPr>
        <w:rFonts w:hint="default" w:ascii="Arial" w:hAnsi="Arial" w:eastAsia="宋体" w:cs="Arial"/>
        <w:b/>
        <w:bCs/>
        <w:sz w:val="18"/>
        <w:szCs w:val="18"/>
        <w:lang w:val="en-US" w:eastAsia="zh-CN"/>
      </w:rPr>
      <w:t>Web:www.coburybio.com</w:t>
    </w:r>
  </w:p>
  <w:p w14:paraId="2659858F">
    <w:pPr>
      <w:pStyle w:val="3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47BAFCB"/>
    <w:multiLevelType w:val="singleLevel"/>
    <w:tmpl w:val="A47BAFCB"/>
    <w:lvl w:ilvl="0" w:tentative="0">
      <w:start w:val="5"/>
      <w:numFmt w:val="upperLetter"/>
      <w:suff w:val="nothing"/>
      <w:lvlText w:val="%1-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isplayBackgroundShape w:val="1"/>
  <w:documentProtection w:enforcement="0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useFELayout/>
    <w:compatSetting w:name="compatibilityMode" w:uri="http://schemas.microsoft.com/office/word" w:val="14"/>
  </w:compat>
  <w:rsids>
    <w:rsidRoot w:val="00000000"/>
    <w:rsid w:val="61C461EF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/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Arial" w:hAnsi="Arial" w:eastAsia="Arial" w:cs="Arial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6">
    <w:name w:val="Default Paragraph Font"/>
    <w:semiHidden/>
    <w:uiPriority w:val="0"/>
  </w:style>
  <w:style w:type="table" w:default="1" w:styleId="5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Times New Roman" w:hAnsi="Times New Roman" w:eastAsia="Times New Roman" w:cs="Times New Roman"/>
      <w:sz w:val="20"/>
      <w:szCs w:val="20"/>
      <w:lang w:val="en-US" w:eastAsia="en-US" w:bidi="ar-SA"/>
    </w:rPr>
  </w:style>
  <w:style w:type="paragraph" w:styleId="3">
    <w:name w:val="footer"/>
    <w:basedOn w:val="1"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4">
    <w:name w:val="header"/>
    <w:basedOn w:val="1"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character" w:styleId="7">
    <w:name w:val="Hyperlink"/>
    <w:basedOn w:val="6"/>
    <w:uiPriority w:val="0"/>
    <w:rPr>
      <w:color w:val="0000FF"/>
      <w:u w:val="single"/>
    </w:rPr>
  </w:style>
  <w:style w:type="table" w:customStyle="1" w:styleId="8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3.png"/><Relationship Id="rId8" Type="http://schemas.openxmlformats.org/officeDocument/2006/relationships/image" Target="media/image2.png"/><Relationship Id="rId7" Type="http://schemas.openxmlformats.org/officeDocument/2006/relationships/image" Target="media/image1.png"/><Relationship Id="rId6" Type="http://schemas.openxmlformats.org/officeDocument/2006/relationships/theme" Target="theme/theme1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4" Type="http://schemas.openxmlformats.org/officeDocument/2006/relationships/fontTable" Target="fontTable.xml"/><Relationship Id="rId13" Type="http://schemas.openxmlformats.org/officeDocument/2006/relationships/numbering" Target="numbering.xml"/><Relationship Id="rId12" Type="http://schemas.openxmlformats.org/officeDocument/2006/relationships/image" Target="media/image6.png"/><Relationship Id="rId11" Type="http://schemas.openxmlformats.org/officeDocument/2006/relationships/image" Target="media/image5.png"/><Relationship Id="rId10" Type="http://schemas.openxmlformats.org/officeDocument/2006/relationships/image" Target="media/image4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2</Pages>
  <Words>253</Words>
  <Characters>1646</Characters>
  <TotalTime>4</TotalTime>
  <ScaleCrop>false</ScaleCrop>
  <LinksUpToDate>false</LinksUpToDate>
  <CharactersWithSpaces>1909</CharactersWithSpaces>
  <Application>WPS Office_12.1.0.21541_F1E327BC-269C-435d-A152-05C5408002CA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2016-02-16T14:46:00Z</dcterms:created>
  <dc:creator>Limin Wang; 詹焱程</dc:creator>
  <cp:keywords>26082</cp:keywords>
  <cp:lastModifiedBy>周亿福</cp:lastModifiedBy>
  <dcterms:modified xsi:type="dcterms:W3CDTF">2025-08-14T09:01:34Z</dcterms:modified>
  <dc:subject>Datesheet</dc:subject>
  <dc:title>EGFR（L858R）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wqlLaW5nc29mdCBQREYgdG8gV1BTIDExMA</vt:lpwstr>
  </property>
  <property fmtid="{D5CDD505-2E9C-101B-9397-08002B2CF9AE}" pid="3" name="Created">
    <vt:filetime>2025-08-14T11:01:03Z</vt:filetime>
  </property>
  <property fmtid="{D5CDD505-2E9C-101B-9397-08002B2CF9AE}" pid="4" name="KSOTemplateDocerSaveRecord">
    <vt:lpwstr>eyJoZGlkIjoiZjc1NzRjMTZhODVjOTM0MjFhODkzYzEwNjNiNjY4OTEiLCJ1c2VySWQiOiI2NjU1NzU2NjgifQ==</vt:lpwstr>
  </property>
  <property fmtid="{D5CDD505-2E9C-101B-9397-08002B2CF9AE}" pid="5" name="KSOProductBuildVer">
    <vt:lpwstr>2052-12.1.0.21541</vt:lpwstr>
  </property>
  <property fmtid="{D5CDD505-2E9C-101B-9397-08002B2CF9AE}" pid="6" name="ICV">
    <vt:lpwstr>BE66EBF874ED4AF8955978A1AA5D7AC1_12</vt:lpwstr>
  </property>
</Properties>
</file>